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358F30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5D03" w:rsidRPr="00D95EAC">
        <w:rPr>
          <w:rFonts w:ascii="Verdana" w:hAnsi="Verdana"/>
          <w:b/>
          <w:sz w:val="18"/>
          <w:szCs w:val="18"/>
        </w:rPr>
        <w:t>„</w:t>
      </w:r>
      <w:bookmarkEnd w:id="0"/>
      <w:r w:rsidR="00395D03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395D03" w:rsidRPr="00D95EAC">
        <w:rPr>
          <w:rFonts w:ascii="Verdana" w:hAnsi="Verdana"/>
          <w:sz w:val="18"/>
          <w:szCs w:val="18"/>
        </w:rPr>
        <w:t>č.j. 11404/2024-SŽ-OŘ OVA-NPI</w:t>
      </w:r>
      <w:bookmarkStart w:id="1" w:name="_GoBack"/>
      <w:bookmarkEnd w:id="1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5D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5BDB17-DCBD-4326-9945-33D90781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2024-03-11T11:08:00Z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